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4A" w:rsidRDefault="001D4377" w:rsidP="001D4377">
      <w:pPr>
        <w:pStyle w:val="NoSpacing"/>
      </w:pPr>
      <w:r>
        <w:t>UČENIČKI DOM DORA PEJAČEVIĆ</w:t>
      </w:r>
    </w:p>
    <w:p w:rsidR="001D4377" w:rsidRDefault="001D4377" w:rsidP="001D4377">
      <w:pPr>
        <w:pStyle w:val="NoSpacing"/>
      </w:pPr>
      <w:r>
        <w:t>TRG J. F. KENNEDYA 3</w:t>
      </w:r>
    </w:p>
    <w:p w:rsidR="001D4377" w:rsidRDefault="001D4377" w:rsidP="001D4377">
      <w:pPr>
        <w:pStyle w:val="NoSpacing"/>
      </w:pPr>
      <w:r>
        <w:t>10000 ZAGREB</w:t>
      </w:r>
    </w:p>
    <w:p w:rsidR="001D4377" w:rsidRDefault="001D4377" w:rsidP="001D4377">
      <w:pPr>
        <w:pStyle w:val="NoSpacing"/>
      </w:pPr>
      <w:r>
        <w:t>Klasa: 602-03/16-02/</w:t>
      </w:r>
      <w:r w:rsidR="00444F24">
        <w:t>60</w:t>
      </w:r>
    </w:p>
    <w:p w:rsidR="001D4377" w:rsidRDefault="001D4377" w:rsidP="001D4377">
      <w:pPr>
        <w:pStyle w:val="NoSpacing"/>
      </w:pPr>
      <w:proofErr w:type="spellStart"/>
      <w:r>
        <w:t>Ur.broj</w:t>
      </w:r>
      <w:proofErr w:type="spellEnd"/>
      <w:r>
        <w:t>:251-487-25-16-01</w:t>
      </w:r>
    </w:p>
    <w:p w:rsidR="001D4377" w:rsidRDefault="001D4377" w:rsidP="001D4377">
      <w:pPr>
        <w:pStyle w:val="NoSpacing"/>
      </w:pPr>
    </w:p>
    <w:p w:rsidR="001D4377" w:rsidRDefault="001D4377" w:rsidP="001D4377">
      <w:pPr>
        <w:pStyle w:val="NoSpacing"/>
      </w:pPr>
      <w:r>
        <w:t>U Zagrebu, 14. ožujak 2016.g.</w:t>
      </w:r>
    </w:p>
    <w:p w:rsidR="001D4377" w:rsidRDefault="001D4377" w:rsidP="001D4377">
      <w:pPr>
        <w:pStyle w:val="NoSpacing"/>
      </w:pPr>
    </w:p>
    <w:p w:rsidR="001D4377" w:rsidRDefault="00D3754D" w:rsidP="00D3754D">
      <w:pPr>
        <w:pStyle w:val="NoSpacing"/>
        <w:jc w:val="both"/>
      </w:pPr>
      <w:r>
        <w:t xml:space="preserve">Sukladno Uredbi o izmjenama i dopunama Uredbe o sastavljanju i predaji izjavi o fiskalnoj odgovornosti i izvještaja o primjeni fiskalnih pravila („Narodne novine“ broj 78/11, 106/12, 130/13 i 119/15) i temeljem članka </w:t>
      </w:r>
      <w:bookmarkStart w:id="0" w:name="_GoBack"/>
      <w:bookmarkEnd w:id="0"/>
      <w:r>
        <w:t xml:space="preserve">53. </w:t>
      </w:r>
      <w:r w:rsidR="001D4377">
        <w:t>Statuta Učeničkog doma Dora Pejačević</w:t>
      </w:r>
      <w:r>
        <w:t>, ravnateljica Suzana Jambrešić, prof., donosi</w:t>
      </w:r>
    </w:p>
    <w:p w:rsidR="00D3754D" w:rsidRDefault="00D3754D" w:rsidP="00D3754D">
      <w:pPr>
        <w:pStyle w:val="NoSpacing"/>
        <w:jc w:val="both"/>
      </w:pPr>
    </w:p>
    <w:p w:rsidR="00D3754D" w:rsidRPr="006B45FD" w:rsidRDefault="00D3754D" w:rsidP="00D3754D">
      <w:pPr>
        <w:pStyle w:val="NoSpacing"/>
        <w:jc w:val="center"/>
        <w:rPr>
          <w:b/>
        </w:rPr>
      </w:pPr>
      <w:r w:rsidRPr="006B45FD">
        <w:rPr>
          <w:b/>
        </w:rPr>
        <w:t>PROCEDURU PRAĆENJA I NAPLATE PRIHODA I PRIMITAKA</w:t>
      </w:r>
    </w:p>
    <w:p w:rsidR="00D3754D" w:rsidRDefault="00D3754D" w:rsidP="00D3754D">
      <w:pPr>
        <w:pStyle w:val="NoSpacing"/>
        <w:jc w:val="center"/>
      </w:pPr>
    </w:p>
    <w:p w:rsidR="00D3754D" w:rsidRPr="006B45FD" w:rsidRDefault="00D3754D" w:rsidP="00D3754D">
      <w:pPr>
        <w:pStyle w:val="NoSpacing"/>
        <w:jc w:val="center"/>
        <w:rPr>
          <w:b/>
        </w:rPr>
      </w:pPr>
      <w:r w:rsidRPr="006B45FD">
        <w:rPr>
          <w:b/>
        </w:rPr>
        <w:t>Članak 1.</w:t>
      </w:r>
    </w:p>
    <w:p w:rsidR="00D3754D" w:rsidRDefault="00D3754D" w:rsidP="00C378EC">
      <w:pPr>
        <w:pStyle w:val="NoSpacing"/>
        <w:ind w:firstLine="708"/>
        <w:jc w:val="both"/>
      </w:pPr>
      <w:r>
        <w:t xml:space="preserve">Ova procedura ima za cilj osigurati učinkovit sustav nadzora naplate prihoda Doma. Kako bi se osigurala pravovremena naplata potraživanja procedurom se utvrđuju mjere naplate, vremensko razdoblje nakon kojega se pokreće pojedina mjera naplate te praćenje naplate po poduzetim mjerama. </w:t>
      </w:r>
    </w:p>
    <w:p w:rsidR="000B5A66" w:rsidRDefault="000B5A66" w:rsidP="00D3754D">
      <w:pPr>
        <w:pStyle w:val="NoSpacing"/>
        <w:jc w:val="both"/>
      </w:pPr>
    </w:p>
    <w:p w:rsidR="000B5A66" w:rsidRPr="006B45FD" w:rsidRDefault="000B5A66" w:rsidP="000B5A66">
      <w:pPr>
        <w:pStyle w:val="NoSpacing"/>
        <w:jc w:val="center"/>
        <w:rPr>
          <w:b/>
        </w:rPr>
      </w:pPr>
      <w:r w:rsidRPr="006B45FD">
        <w:rPr>
          <w:b/>
        </w:rPr>
        <w:t>Članak 2.</w:t>
      </w:r>
    </w:p>
    <w:p w:rsidR="000B5A66" w:rsidRDefault="000B5A66" w:rsidP="00C378EC">
      <w:pPr>
        <w:pStyle w:val="NoSpacing"/>
        <w:ind w:firstLine="708"/>
        <w:jc w:val="both"/>
      </w:pPr>
      <w:r>
        <w:t>Dom ostvaruje sljedeće vrste vlastitih prihoda:</w:t>
      </w:r>
    </w:p>
    <w:p w:rsidR="000B5A66" w:rsidRDefault="000B5A66" w:rsidP="000B5A66">
      <w:pPr>
        <w:pStyle w:val="NoSpacing"/>
        <w:jc w:val="both"/>
      </w:pPr>
      <w:r>
        <w:t>- prohodi za smještaj i prehranu učenika</w:t>
      </w:r>
    </w:p>
    <w:p w:rsidR="000B5A66" w:rsidRDefault="000B5A66" w:rsidP="000B5A66">
      <w:pPr>
        <w:pStyle w:val="NoSpacing"/>
        <w:jc w:val="both"/>
      </w:pPr>
      <w:r>
        <w:t xml:space="preserve">- </w:t>
      </w:r>
      <w:r w:rsidR="006137D6">
        <w:t>usluge smještaja i prehrane</w:t>
      </w:r>
    </w:p>
    <w:p w:rsidR="006137D6" w:rsidRDefault="006137D6" w:rsidP="000B5A66">
      <w:pPr>
        <w:pStyle w:val="NoSpacing"/>
        <w:jc w:val="both"/>
      </w:pPr>
      <w:r>
        <w:t>- prihodi od najma prostora</w:t>
      </w:r>
    </w:p>
    <w:p w:rsidR="006137D6" w:rsidRDefault="006137D6" w:rsidP="000B5A66">
      <w:pPr>
        <w:pStyle w:val="NoSpacing"/>
        <w:jc w:val="both"/>
      </w:pPr>
    </w:p>
    <w:p w:rsidR="006137D6" w:rsidRPr="006B45FD" w:rsidRDefault="006137D6" w:rsidP="006137D6">
      <w:pPr>
        <w:pStyle w:val="NoSpacing"/>
        <w:jc w:val="center"/>
        <w:rPr>
          <w:b/>
        </w:rPr>
      </w:pPr>
      <w:r w:rsidRPr="006B45FD">
        <w:rPr>
          <w:b/>
        </w:rPr>
        <w:t xml:space="preserve">Članak 3. </w:t>
      </w:r>
    </w:p>
    <w:p w:rsidR="006137D6" w:rsidRDefault="006137D6" w:rsidP="00C378EC">
      <w:pPr>
        <w:pStyle w:val="NoSpacing"/>
        <w:ind w:firstLine="708"/>
        <w:jc w:val="both"/>
      </w:pPr>
      <w:r>
        <w:t>Procedura iz članka 1. izvodi se po sljedećem postupku, osim ako posebnim propisom nije drugačije određeno</w:t>
      </w:r>
      <w:r w:rsidR="00872F88">
        <w:t>;</w:t>
      </w:r>
    </w:p>
    <w:p w:rsidR="006137D6" w:rsidRDefault="006137D6" w:rsidP="006137D6">
      <w:pPr>
        <w:pStyle w:val="NoSpacing"/>
        <w:jc w:val="both"/>
      </w:pPr>
    </w:p>
    <w:p w:rsidR="006B45FD" w:rsidRDefault="006B45FD" w:rsidP="006137D6">
      <w:pPr>
        <w:pStyle w:val="NoSpacing"/>
        <w:jc w:val="both"/>
      </w:pPr>
    </w:p>
    <w:tbl>
      <w:tblPr>
        <w:tblStyle w:val="TableGrid"/>
        <w:tblW w:w="0" w:type="auto"/>
        <w:tblLook w:val="04A0" w:firstRow="1" w:lastRow="0" w:firstColumn="1" w:lastColumn="0" w:noHBand="0" w:noVBand="1"/>
      </w:tblPr>
      <w:tblGrid>
        <w:gridCol w:w="864"/>
        <w:gridCol w:w="2133"/>
        <w:gridCol w:w="2472"/>
        <w:gridCol w:w="2354"/>
        <w:gridCol w:w="1465"/>
      </w:tblGrid>
      <w:tr w:rsidR="00872F88" w:rsidTr="00EC2DF5">
        <w:tc>
          <w:tcPr>
            <w:tcW w:w="864" w:type="dxa"/>
          </w:tcPr>
          <w:p w:rsidR="00EC2DF5" w:rsidRDefault="00EC2DF5" w:rsidP="006137D6">
            <w:pPr>
              <w:pStyle w:val="NoSpacing"/>
              <w:jc w:val="both"/>
            </w:pPr>
            <w:r>
              <w:t>Red.br.</w:t>
            </w:r>
          </w:p>
        </w:tc>
        <w:tc>
          <w:tcPr>
            <w:tcW w:w="2850" w:type="dxa"/>
          </w:tcPr>
          <w:p w:rsidR="00EC2DF5" w:rsidRDefault="00EC2DF5" w:rsidP="006137D6">
            <w:pPr>
              <w:pStyle w:val="NoSpacing"/>
              <w:jc w:val="both"/>
            </w:pPr>
            <w:r>
              <w:t>AKTIVNOST</w:t>
            </w:r>
          </w:p>
        </w:tc>
        <w:tc>
          <w:tcPr>
            <w:tcW w:w="1858" w:type="dxa"/>
          </w:tcPr>
          <w:p w:rsidR="00EC2DF5" w:rsidRDefault="00EC2DF5" w:rsidP="006137D6">
            <w:pPr>
              <w:pStyle w:val="NoSpacing"/>
              <w:jc w:val="both"/>
            </w:pPr>
            <w:r>
              <w:t>NADLEŽNOST</w:t>
            </w:r>
          </w:p>
        </w:tc>
        <w:tc>
          <w:tcPr>
            <w:tcW w:w="1858" w:type="dxa"/>
          </w:tcPr>
          <w:p w:rsidR="00EC2DF5" w:rsidRDefault="00EC2DF5" w:rsidP="006137D6">
            <w:pPr>
              <w:pStyle w:val="NoSpacing"/>
              <w:jc w:val="both"/>
            </w:pPr>
            <w:r>
              <w:t xml:space="preserve">DOKUMENT </w:t>
            </w:r>
          </w:p>
        </w:tc>
        <w:tc>
          <w:tcPr>
            <w:tcW w:w="1858" w:type="dxa"/>
          </w:tcPr>
          <w:p w:rsidR="00EC2DF5" w:rsidRDefault="00EC2DF5" w:rsidP="006137D6">
            <w:pPr>
              <w:pStyle w:val="NoSpacing"/>
              <w:jc w:val="both"/>
            </w:pPr>
            <w:r>
              <w:t>ROK</w:t>
            </w:r>
          </w:p>
        </w:tc>
      </w:tr>
      <w:tr w:rsidR="00872F88" w:rsidTr="00EC2DF5">
        <w:tc>
          <w:tcPr>
            <w:tcW w:w="864" w:type="dxa"/>
          </w:tcPr>
          <w:p w:rsidR="00EC2DF5" w:rsidRDefault="00EC2DF5" w:rsidP="006137D6">
            <w:pPr>
              <w:pStyle w:val="NoSpacing"/>
              <w:jc w:val="both"/>
            </w:pPr>
            <w:r>
              <w:t>1</w:t>
            </w:r>
          </w:p>
        </w:tc>
        <w:tc>
          <w:tcPr>
            <w:tcW w:w="2850" w:type="dxa"/>
          </w:tcPr>
          <w:p w:rsidR="00EC2DF5" w:rsidRDefault="00EC2DF5" w:rsidP="006137D6">
            <w:pPr>
              <w:pStyle w:val="NoSpacing"/>
              <w:jc w:val="both"/>
            </w:pPr>
            <w:r>
              <w:t>2</w:t>
            </w:r>
          </w:p>
        </w:tc>
        <w:tc>
          <w:tcPr>
            <w:tcW w:w="1858" w:type="dxa"/>
          </w:tcPr>
          <w:p w:rsidR="00EC2DF5" w:rsidRDefault="00EC2DF5" w:rsidP="006137D6">
            <w:pPr>
              <w:pStyle w:val="NoSpacing"/>
              <w:jc w:val="both"/>
            </w:pPr>
            <w:r>
              <w:t>3</w:t>
            </w:r>
          </w:p>
        </w:tc>
        <w:tc>
          <w:tcPr>
            <w:tcW w:w="1858" w:type="dxa"/>
          </w:tcPr>
          <w:p w:rsidR="00EC2DF5" w:rsidRDefault="00EC2DF5" w:rsidP="006137D6">
            <w:pPr>
              <w:pStyle w:val="NoSpacing"/>
              <w:jc w:val="both"/>
            </w:pPr>
            <w:r>
              <w:t>4</w:t>
            </w:r>
          </w:p>
        </w:tc>
        <w:tc>
          <w:tcPr>
            <w:tcW w:w="1858" w:type="dxa"/>
          </w:tcPr>
          <w:p w:rsidR="00EC2DF5" w:rsidRDefault="00EC2DF5" w:rsidP="006137D6">
            <w:pPr>
              <w:pStyle w:val="NoSpacing"/>
              <w:jc w:val="both"/>
            </w:pPr>
            <w:r>
              <w:t>5</w:t>
            </w:r>
          </w:p>
        </w:tc>
      </w:tr>
      <w:tr w:rsidR="00872F88" w:rsidTr="00EC2DF5">
        <w:tc>
          <w:tcPr>
            <w:tcW w:w="864" w:type="dxa"/>
          </w:tcPr>
          <w:p w:rsidR="00EC2DF5" w:rsidRDefault="00EC2DF5" w:rsidP="006137D6">
            <w:pPr>
              <w:pStyle w:val="NoSpacing"/>
              <w:jc w:val="both"/>
            </w:pPr>
            <w:r>
              <w:t>1.</w:t>
            </w:r>
          </w:p>
        </w:tc>
        <w:tc>
          <w:tcPr>
            <w:tcW w:w="2850" w:type="dxa"/>
          </w:tcPr>
          <w:p w:rsidR="00EC2DF5" w:rsidRDefault="00EC2DF5" w:rsidP="00EC2DF5">
            <w:pPr>
              <w:pStyle w:val="NoSpacing"/>
            </w:pPr>
            <w:r>
              <w:t>Dostava podataka računovodstvu potrebnih za izdavanje računa</w:t>
            </w:r>
          </w:p>
        </w:tc>
        <w:tc>
          <w:tcPr>
            <w:tcW w:w="1858" w:type="dxa"/>
          </w:tcPr>
          <w:p w:rsidR="00EC2DF5" w:rsidRDefault="00EC2DF5" w:rsidP="006137D6">
            <w:pPr>
              <w:pStyle w:val="NoSpacing"/>
              <w:jc w:val="both"/>
            </w:pPr>
            <w:r>
              <w:t>Tajništvo</w:t>
            </w:r>
          </w:p>
          <w:p w:rsidR="00EC2DF5" w:rsidRDefault="00EC2DF5" w:rsidP="006137D6">
            <w:pPr>
              <w:pStyle w:val="NoSpacing"/>
              <w:jc w:val="both"/>
            </w:pPr>
            <w:r>
              <w:t>Računovodstvo</w:t>
            </w:r>
          </w:p>
        </w:tc>
        <w:tc>
          <w:tcPr>
            <w:tcW w:w="1858" w:type="dxa"/>
          </w:tcPr>
          <w:p w:rsidR="00EC2DF5" w:rsidRDefault="00EC2DF5" w:rsidP="006137D6">
            <w:pPr>
              <w:pStyle w:val="NoSpacing"/>
              <w:jc w:val="both"/>
            </w:pPr>
            <w:r>
              <w:t>Ugovor/rješenje o sufinanciranju smještaja/narudžbenica</w:t>
            </w:r>
          </w:p>
        </w:tc>
        <w:tc>
          <w:tcPr>
            <w:tcW w:w="1858" w:type="dxa"/>
          </w:tcPr>
          <w:p w:rsidR="00EC2DF5" w:rsidRDefault="00EC2DF5" w:rsidP="006137D6">
            <w:pPr>
              <w:pStyle w:val="NoSpacing"/>
              <w:jc w:val="both"/>
            </w:pPr>
            <w:r>
              <w:t>mjesečno</w:t>
            </w:r>
          </w:p>
        </w:tc>
      </w:tr>
      <w:tr w:rsidR="00872F88" w:rsidTr="00EC2DF5">
        <w:tc>
          <w:tcPr>
            <w:tcW w:w="864" w:type="dxa"/>
          </w:tcPr>
          <w:p w:rsidR="00EC2DF5" w:rsidRDefault="00EC2DF5" w:rsidP="006137D6">
            <w:pPr>
              <w:pStyle w:val="NoSpacing"/>
              <w:jc w:val="both"/>
            </w:pPr>
            <w:r>
              <w:t>2.</w:t>
            </w:r>
          </w:p>
        </w:tc>
        <w:tc>
          <w:tcPr>
            <w:tcW w:w="2850" w:type="dxa"/>
          </w:tcPr>
          <w:p w:rsidR="00EC2DF5" w:rsidRDefault="00EC2DF5" w:rsidP="00EC2DF5">
            <w:pPr>
              <w:pStyle w:val="NoSpacing"/>
            </w:pPr>
            <w:r>
              <w:t xml:space="preserve">Izdavanje računa </w:t>
            </w:r>
          </w:p>
          <w:p w:rsidR="00EC2DF5" w:rsidRDefault="00EC2DF5" w:rsidP="00EC2DF5">
            <w:pPr>
              <w:pStyle w:val="NoSpacing"/>
            </w:pPr>
            <w:r>
              <w:t>- gotovinskih</w:t>
            </w:r>
          </w:p>
          <w:p w:rsidR="00EC2DF5" w:rsidRDefault="00EC2DF5" w:rsidP="00EC2DF5">
            <w:pPr>
              <w:pStyle w:val="NoSpacing"/>
            </w:pPr>
            <w:r>
              <w:t>- bezgotovinskih</w:t>
            </w:r>
          </w:p>
        </w:tc>
        <w:tc>
          <w:tcPr>
            <w:tcW w:w="1858" w:type="dxa"/>
          </w:tcPr>
          <w:p w:rsidR="00EC2DF5" w:rsidRDefault="00EC2DF5" w:rsidP="00EC2DF5">
            <w:pPr>
              <w:pStyle w:val="NoSpacing"/>
            </w:pPr>
            <w:r>
              <w:t>Računovodstvu</w:t>
            </w:r>
          </w:p>
        </w:tc>
        <w:tc>
          <w:tcPr>
            <w:tcW w:w="1858" w:type="dxa"/>
          </w:tcPr>
          <w:p w:rsidR="00EC2DF5" w:rsidRDefault="00EC2DF5" w:rsidP="00EC2DF5">
            <w:pPr>
              <w:pStyle w:val="NoSpacing"/>
            </w:pPr>
            <w:r>
              <w:t>Gotovinski račun, izlazni račun</w:t>
            </w:r>
          </w:p>
        </w:tc>
        <w:tc>
          <w:tcPr>
            <w:tcW w:w="1858" w:type="dxa"/>
          </w:tcPr>
          <w:p w:rsidR="00EC2DF5" w:rsidRDefault="00EC2DF5" w:rsidP="00EC2DF5">
            <w:pPr>
              <w:pStyle w:val="NoSpacing"/>
            </w:pPr>
            <w:r>
              <w:t>mjesečno</w:t>
            </w:r>
          </w:p>
        </w:tc>
      </w:tr>
      <w:tr w:rsidR="00872F88" w:rsidTr="00EC2DF5">
        <w:tc>
          <w:tcPr>
            <w:tcW w:w="864" w:type="dxa"/>
          </w:tcPr>
          <w:p w:rsidR="00EC2DF5" w:rsidRDefault="00EC2DF5" w:rsidP="006137D6">
            <w:pPr>
              <w:pStyle w:val="NoSpacing"/>
              <w:jc w:val="both"/>
            </w:pPr>
            <w:r>
              <w:t>3.</w:t>
            </w:r>
          </w:p>
        </w:tc>
        <w:tc>
          <w:tcPr>
            <w:tcW w:w="2850" w:type="dxa"/>
          </w:tcPr>
          <w:p w:rsidR="00EC2DF5" w:rsidRDefault="00EC2DF5" w:rsidP="00EC2DF5">
            <w:pPr>
              <w:pStyle w:val="NoSpacing"/>
            </w:pPr>
            <w:r>
              <w:t>Ovjera i potpis izlaznog računa</w:t>
            </w:r>
          </w:p>
        </w:tc>
        <w:tc>
          <w:tcPr>
            <w:tcW w:w="1858" w:type="dxa"/>
          </w:tcPr>
          <w:p w:rsidR="00EC2DF5" w:rsidRDefault="00EC2DF5" w:rsidP="00EC2DF5">
            <w:pPr>
              <w:pStyle w:val="NoSpacing"/>
            </w:pPr>
            <w:r>
              <w:t>Ravnateljica</w:t>
            </w:r>
          </w:p>
        </w:tc>
        <w:tc>
          <w:tcPr>
            <w:tcW w:w="1858" w:type="dxa"/>
          </w:tcPr>
          <w:p w:rsidR="00EC2DF5" w:rsidRDefault="00EC2DF5" w:rsidP="00EC2DF5">
            <w:pPr>
              <w:pStyle w:val="NoSpacing"/>
            </w:pPr>
            <w:r>
              <w:t>Izlazni račun</w:t>
            </w:r>
          </w:p>
        </w:tc>
        <w:tc>
          <w:tcPr>
            <w:tcW w:w="1858" w:type="dxa"/>
          </w:tcPr>
          <w:p w:rsidR="00EC2DF5" w:rsidRDefault="00EC2DF5" w:rsidP="00EC2DF5">
            <w:pPr>
              <w:pStyle w:val="NoSpacing"/>
            </w:pPr>
            <w:r>
              <w:t>2 dana od izrade računa</w:t>
            </w:r>
          </w:p>
        </w:tc>
      </w:tr>
      <w:tr w:rsidR="00872F88" w:rsidTr="00EC2DF5">
        <w:tc>
          <w:tcPr>
            <w:tcW w:w="864" w:type="dxa"/>
          </w:tcPr>
          <w:p w:rsidR="00EC2DF5" w:rsidRDefault="00EC2DF5" w:rsidP="006137D6">
            <w:pPr>
              <w:pStyle w:val="NoSpacing"/>
              <w:jc w:val="both"/>
            </w:pPr>
            <w:r>
              <w:t>4.</w:t>
            </w:r>
          </w:p>
        </w:tc>
        <w:tc>
          <w:tcPr>
            <w:tcW w:w="2850" w:type="dxa"/>
          </w:tcPr>
          <w:p w:rsidR="00EC2DF5" w:rsidRDefault="00EC2DF5" w:rsidP="00EC2DF5">
            <w:pPr>
              <w:pStyle w:val="NoSpacing"/>
            </w:pPr>
            <w:r>
              <w:t>Dostava izlaznog računa</w:t>
            </w:r>
          </w:p>
        </w:tc>
        <w:tc>
          <w:tcPr>
            <w:tcW w:w="1858" w:type="dxa"/>
          </w:tcPr>
          <w:p w:rsidR="00EC2DF5" w:rsidRDefault="00EC2DF5" w:rsidP="00EC2DF5">
            <w:pPr>
              <w:pStyle w:val="NoSpacing"/>
            </w:pPr>
            <w:r>
              <w:t>Računovodstvo</w:t>
            </w:r>
          </w:p>
        </w:tc>
        <w:tc>
          <w:tcPr>
            <w:tcW w:w="1858" w:type="dxa"/>
          </w:tcPr>
          <w:p w:rsidR="00EC2DF5" w:rsidRDefault="00EC2DF5" w:rsidP="00EC2DF5">
            <w:pPr>
              <w:pStyle w:val="NoSpacing"/>
            </w:pPr>
            <w:r>
              <w:t>Putem pošte/preporučeno</w:t>
            </w:r>
          </w:p>
        </w:tc>
        <w:tc>
          <w:tcPr>
            <w:tcW w:w="1858" w:type="dxa"/>
          </w:tcPr>
          <w:p w:rsidR="00EC2DF5" w:rsidRDefault="00737693" w:rsidP="00EC2DF5">
            <w:pPr>
              <w:pStyle w:val="NoSpacing"/>
            </w:pPr>
            <w:r>
              <w:t>1 dana nakon ovjere</w:t>
            </w:r>
          </w:p>
        </w:tc>
      </w:tr>
      <w:tr w:rsidR="00872F88" w:rsidTr="00EC2DF5">
        <w:tc>
          <w:tcPr>
            <w:tcW w:w="864" w:type="dxa"/>
          </w:tcPr>
          <w:p w:rsidR="00EC2DF5" w:rsidRDefault="00737693" w:rsidP="006137D6">
            <w:pPr>
              <w:pStyle w:val="NoSpacing"/>
              <w:jc w:val="both"/>
            </w:pPr>
            <w:r>
              <w:t>5.</w:t>
            </w:r>
          </w:p>
        </w:tc>
        <w:tc>
          <w:tcPr>
            <w:tcW w:w="2850" w:type="dxa"/>
          </w:tcPr>
          <w:p w:rsidR="00EC2DF5" w:rsidRDefault="00737693" w:rsidP="00737693">
            <w:pPr>
              <w:pStyle w:val="NoSpacing"/>
            </w:pPr>
            <w:r>
              <w:t>Knjiženje izlaznog računa  - unos podataka u sustav</w:t>
            </w:r>
          </w:p>
        </w:tc>
        <w:tc>
          <w:tcPr>
            <w:tcW w:w="1858" w:type="dxa"/>
          </w:tcPr>
          <w:p w:rsidR="00EC2DF5" w:rsidRDefault="00737693" w:rsidP="00EC2DF5">
            <w:pPr>
              <w:pStyle w:val="NoSpacing"/>
            </w:pPr>
            <w:r>
              <w:t>Računovodstvo</w:t>
            </w:r>
          </w:p>
        </w:tc>
        <w:tc>
          <w:tcPr>
            <w:tcW w:w="1858" w:type="dxa"/>
          </w:tcPr>
          <w:p w:rsidR="00EC2DF5" w:rsidRDefault="00737693" w:rsidP="00EC2DF5">
            <w:pPr>
              <w:pStyle w:val="NoSpacing"/>
            </w:pPr>
            <w:r>
              <w:t>Knjiga izlaznih računa, Glavna knjiga</w:t>
            </w:r>
          </w:p>
        </w:tc>
        <w:tc>
          <w:tcPr>
            <w:tcW w:w="1858" w:type="dxa"/>
          </w:tcPr>
          <w:p w:rsidR="00EC2DF5" w:rsidRDefault="00737693" w:rsidP="00EC2DF5">
            <w:pPr>
              <w:pStyle w:val="NoSpacing"/>
            </w:pPr>
            <w:r>
              <w:t>Unutar mjeseca na koji se račun odnosi</w:t>
            </w:r>
          </w:p>
        </w:tc>
      </w:tr>
      <w:tr w:rsidR="00872F88" w:rsidTr="00EC2DF5">
        <w:tc>
          <w:tcPr>
            <w:tcW w:w="864" w:type="dxa"/>
          </w:tcPr>
          <w:p w:rsidR="00EC2DF5" w:rsidRDefault="00737693" w:rsidP="006137D6">
            <w:pPr>
              <w:pStyle w:val="NoSpacing"/>
              <w:jc w:val="both"/>
            </w:pPr>
            <w:r>
              <w:t xml:space="preserve">6. </w:t>
            </w:r>
          </w:p>
        </w:tc>
        <w:tc>
          <w:tcPr>
            <w:tcW w:w="2850" w:type="dxa"/>
          </w:tcPr>
          <w:p w:rsidR="00EC2DF5" w:rsidRDefault="00737693" w:rsidP="00EC2DF5">
            <w:pPr>
              <w:pStyle w:val="NoSpacing"/>
            </w:pPr>
            <w:r>
              <w:t>Evidentiranje neplaćenih prihoda</w:t>
            </w:r>
          </w:p>
        </w:tc>
        <w:tc>
          <w:tcPr>
            <w:tcW w:w="1858" w:type="dxa"/>
          </w:tcPr>
          <w:p w:rsidR="00EC2DF5" w:rsidRDefault="00737693" w:rsidP="00EC2DF5">
            <w:pPr>
              <w:pStyle w:val="NoSpacing"/>
            </w:pPr>
            <w:r>
              <w:t>Računovodstvo</w:t>
            </w:r>
          </w:p>
        </w:tc>
        <w:tc>
          <w:tcPr>
            <w:tcW w:w="1858" w:type="dxa"/>
          </w:tcPr>
          <w:p w:rsidR="00EC2DF5" w:rsidRDefault="00737693" w:rsidP="00EC2DF5">
            <w:pPr>
              <w:pStyle w:val="NoSpacing"/>
            </w:pPr>
            <w:r>
              <w:t>Knjiga ulaznih računa, Glavna knjiga</w:t>
            </w:r>
          </w:p>
        </w:tc>
        <w:tc>
          <w:tcPr>
            <w:tcW w:w="1858" w:type="dxa"/>
          </w:tcPr>
          <w:p w:rsidR="00EC2DF5" w:rsidRDefault="00737693" w:rsidP="00EC2DF5">
            <w:pPr>
              <w:pStyle w:val="NoSpacing"/>
            </w:pPr>
            <w:r>
              <w:t>tjedno</w:t>
            </w:r>
          </w:p>
        </w:tc>
      </w:tr>
      <w:tr w:rsidR="00737693" w:rsidTr="00EC2DF5">
        <w:tc>
          <w:tcPr>
            <w:tcW w:w="864" w:type="dxa"/>
          </w:tcPr>
          <w:p w:rsidR="00737693" w:rsidRDefault="00737693" w:rsidP="006137D6">
            <w:pPr>
              <w:pStyle w:val="NoSpacing"/>
              <w:jc w:val="both"/>
            </w:pPr>
            <w:r>
              <w:lastRenderedPageBreak/>
              <w:t>7.</w:t>
            </w:r>
          </w:p>
        </w:tc>
        <w:tc>
          <w:tcPr>
            <w:tcW w:w="2850" w:type="dxa"/>
          </w:tcPr>
          <w:p w:rsidR="00737693" w:rsidRDefault="00737693" w:rsidP="00EC2DF5">
            <w:pPr>
              <w:pStyle w:val="NoSpacing"/>
            </w:pPr>
            <w:r>
              <w:t>Praćenje naplate prihoda / analitika /</w:t>
            </w:r>
          </w:p>
        </w:tc>
        <w:tc>
          <w:tcPr>
            <w:tcW w:w="1858" w:type="dxa"/>
          </w:tcPr>
          <w:p w:rsidR="00737693" w:rsidRDefault="00737693" w:rsidP="00EC2DF5">
            <w:pPr>
              <w:pStyle w:val="NoSpacing"/>
            </w:pPr>
            <w:r>
              <w:t>Računovodstvo</w:t>
            </w:r>
          </w:p>
        </w:tc>
        <w:tc>
          <w:tcPr>
            <w:tcW w:w="1858" w:type="dxa"/>
          </w:tcPr>
          <w:p w:rsidR="00737693" w:rsidRDefault="00737693" w:rsidP="00EC2DF5">
            <w:pPr>
              <w:pStyle w:val="NoSpacing"/>
            </w:pPr>
            <w:r>
              <w:t>Izvadak po poslovnom računu / blagajnički izvještaj</w:t>
            </w:r>
          </w:p>
        </w:tc>
        <w:tc>
          <w:tcPr>
            <w:tcW w:w="1858" w:type="dxa"/>
          </w:tcPr>
          <w:p w:rsidR="00737693" w:rsidRDefault="00737693" w:rsidP="00EC2DF5">
            <w:pPr>
              <w:pStyle w:val="NoSpacing"/>
            </w:pPr>
            <w:r>
              <w:t>Tjedno</w:t>
            </w:r>
          </w:p>
        </w:tc>
      </w:tr>
      <w:tr w:rsidR="00737693" w:rsidTr="00EC2DF5">
        <w:tc>
          <w:tcPr>
            <w:tcW w:w="864" w:type="dxa"/>
          </w:tcPr>
          <w:p w:rsidR="00737693" w:rsidRDefault="00737693" w:rsidP="006137D6">
            <w:pPr>
              <w:pStyle w:val="NoSpacing"/>
              <w:jc w:val="both"/>
            </w:pPr>
            <w:r>
              <w:t>8.</w:t>
            </w:r>
          </w:p>
        </w:tc>
        <w:tc>
          <w:tcPr>
            <w:tcW w:w="2850" w:type="dxa"/>
          </w:tcPr>
          <w:p w:rsidR="00737693" w:rsidRDefault="00737693" w:rsidP="00EC2DF5">
            <w:pPr>
              <w:pStyle w:val="NoSpacing"/>
            </w:pPr>
            <w:r>
              <w:t>Utvrđivanje stanja dospjelih i nenaplaćenih potraživanja / prihodi</w:t>
            </w:r>
          </w:p>
        </w:tc>
        <w:tc>
          <w:tcPr>
            <w:tcW w:w="1858" w:type="dxa"/>
          </w:tcPr>
          <w:p w:rsidR="00737693" w:rsidRDefault="00737693" w:rsidP="00EC2DF5">
            <w:pPr>
              <w:pStyle w:val="NoSpacing"/>
            </w:pPr>
            <w:r>
              <w:t>Računovodstvo</w:t>
            </w:r>
          </w:p>
        </w:tc>
        <w:tc>
          <w:tcPr>
            <w:tcW w:w="1858" w:type="dxa"/>
          </w:tcPr>
          <w:p w:rsidR="00737693" w:rsidRDefault="00737693" w:rsidP="00EC2DF5">
            <w:pPr>
              <w:pStyle w:val="NoSpacing"/>
            </w:pPr>
            <w:r>
              <w:t>Izvod otvorenih stavki</w:t>
            </w:r>
          </w:p>
        </w:tc>
        <w:tc>
          <w:tcPr>
            <w:tcW w:w="1858" w:type="dxa"/>
          </w:tcPr>
          <w:p w:rsidR="00737693" w:rsidRDefault="00737693" w:rsidP="00EC2DF5">
            <w:pPr>
              <w:pStyle w:val="NoSpacing"/>
            </w:pPr>
            <w:r>
              <w:t>Mjesečno</w:t>
            </w:r>
          </w:p>
        </w:tc>
      </w:tr>
      <w:tr w:rsidR="00737693" w:rsidTr="00EC2DF5">
        <w:tc>
          <w:tcPr>
            <w:tcW w:w="864" w:type="dxa"/>
          </w:tcPr>
          <w:p w:rsidR="00737693" w:rsidRDefault="00737693" w:rsidP="006137D6">
            <w:pPr>
              <w:pStyle w:val="NoSpacing"/>
              <w:jc w:val="both"/>
            </w:pPr>
            <w:r>
              <w:t>9.</w:t>
            </w:r>
          </w:p>
        </w:tc>
        <w:tc>
          <w:tcPr>
            <w:tcW w:w="2850" w:type="dxa"/>
          </w:tcPr>
          <w:p w:rsidR="00737693" w:rsidRDefault="00737693" w:rsidP="00EC2DF5">
            <w:pPr>
              <w:pStyle w:val="NoSpacing"/>
            </w:pPr>
            <w:r>
              <w:t>Upozoravanje i izdavanje opomena po I. i II. put te tužbi</w:t>
            </w:r>
          </w:p>
        </w:tc>
        <w:tc>
          <w:tcPr>
            <w:tcW w:w="1858" w:type="dxa"/>
          </w:tcPr>
          <w:p w:rsidR="00737693" w:rsidRDefault="00737693" w:rsidP="00EC2DF5">
            <w:pPr>
              <w:pStyle w:val="NoSpacing"/>
            </w:pPr>
            <w:r>
              <w:t>Tajništvo</w:t>
            </w:r>
          </w:p>
        </w:tc>
        <w:tc>
          <w:tcPr>
            <w:tcW w:w="1858" w:type="dxa"/>
          </w:tcPr>
          <w:p w:rsidR="00737693" w:rsidRDefault="00737693" w:rsidP="00EC2DF5">
            <w:pPr>
              <w:pStyle w:val="NoSpacing"/>
            </w:pPr>
            <w:r>
              <w:t>Opomene i opomene pred tužbu</w:t>
            </w:r>
          </w:p>
        </w:tc>
        <w:tc>
          <w:tcPr>
            <w:tcW w:w="1858" w:type="dxa"/>
          </w:tcPr>
          <w:p w:rsidR="00737693" w:rsidRDefault="00737693" w:rsidP="00EC2DF5">
            <w:pPr>
              <w:pStyle w:val="NoSpacing"/>
            </w:pPr>
            <w:r>
              <w:t>Tijekom godine</w:t>
            </w:r>
          </w:p>
          <w:p w:rsidR="00737693" w:rsidRDefault="00737693" w:rsidP="00EC2DF5">
            <w:pPr>
              <w:pStyle w:val="NoSpacing"/>
            </w:pPr>
          </w:p>
        </w:tc>
      </w:tr>
      <w:tr w:rsidR="00737693" w:rsidTr="00EC2DF5">
        <w:tc>
          <w:tcPr>
            <w:tcW w:w="864" w:type="dxa"/>
          </w:tcPr>
          <w:p w:rsidR="00737693" w:rsidRDefault="00737693" w:rsidP="006137D6">
            <w:pPr>
              <w:pStyle w:val="NoSpacing"/>
              <w:jc w:val="both"/>
            </w:pPr>
            <w:r>
              <w:t>10.</w:t>
            </w:r>
          </w:p>
        </w:tc>
        <w:tc>
          <w:tcPr>
            <w:tcW w:w="2850" w:type="dxa"/>
          </w:tcPr>
          <w:p w:rsidR="00737693" w:rsidRDefault="00737693" w:rsidP="00737693">
            <w:pPr>
              <w:pStyle w:val="NoSpacing"/>
            </w:pPr>
            <w:r>
              <w:t>Donošenje odluke o prisilnoj naplati potraživanja</w:t>
            </w:r>
          </w:p>
        </w:tc>
        <w:tc>
          <w:tcPr>
            <w:tcW w:w="1858" w:type="dxa"/>
          </w:tcPr>
          <w:p w:rsidR="00737693" w:rsidRDefault="00737693" w:rsidP="00EC2DF5">
            <w:pPr>
              <w:pStyle w:val="NoSpacing"/>
            </w:pPr>
            <w:r>
              <w:t>Ravnateljica</w:t>
            </w:r>
          </w:p>
        </w:tc>
        <w:tc>
          <w:tcPr>
            <w:tcW w:w="1858" w:type="dxa"/>
          </w:tcPr>
          <w:p w:rsidR="00737693" w:rsidRDefault="00737693" w:rsidP="00EC2DF5">
            <w:pPr>
              <w:pStyle w:val="NoSpacing"/>
            </w:pPr>
            <w:r>
              <w:t>Odluka o prisilnoj naplati</w:t>
            </w:r>
          </w:p>
        </w:tc>
        <w:tc>
          <w:tcPr>
            <w:tcW w:w="1858" w:type="dxa"/>
          </w:tcPr>
          <w:p w:rsidR="00737693" w:rsidRDefault="00737693" w:rsidP="00EC2DF5">
            <w:pPr>
              <w:pStyle w:val="NoSpacing"/>
            </w:pPr>
            <w:r>
              <w:t>Tijekom godine</w:t>
            </w:r>
          </w:p>
        </w:tc>
      </w:tr>
      <w:tr w:rsidR="00737693" w:rsidTr="00EC2DF5">
        <w:tc>
          <w:tcPr>
            <w:tcW w:w="864" w:type="dxa"/>
          </w:tcPr>
          <w:p w:rsidR="00737693" w:rsidRDefault="00737693" w:rsidP="006137D6">
            <w:pPr>
              <w:pStyle w:val="NoSpacing"/>
              <w:jc w:val="both"/>
            </w:pPr>
            <w:r>
              <w:t>11.</w:t>
            </w:r>
          </w:p>
        </w:tc>
        <w:tc>
          <w:tcPr>
            <w:tcW w:w="2850" w:type="dxa"/>
          </w:tcPr>
          <w:p w:rsidR="00737693" w:rsidRDefault="00737693" w:rsidP="00737693">
            <w:pPr>
              <w:pStyle w:val="NoSpacing"/>
            </w:pPr>
            <w:r>
              <w:t>Ovrha – prisilna naplata potraživanja u skladu s Ovršnim zakonom</w:t>
            </w:r>
          </w:p>
        </w:tc>
        <w:tc>
          <w:tcPr>
            <w:tcW w:w="1858" w:type="dxa"/>
          </w:tcPr>
          <w:p w:rsidR="00737693" w:rsidRDefault="00737693" w:rsidP="00EC2DF5">
            <w:pPr>
              <w:pStyle w:val="NoSpacing"/>
            </w:pPr>
            <w:r>
              <w:t>Tajništvo/</w:t>
            </w:r>
            <w:r w:rsidR="00872F88">
              <w:t>javnobilježnički ured</w:t>
            </w:r>
          </w:p>
        </w:tc>
        <w:tc>
          <w:tcPr>
            <w:tcW w:w="1858" w:type="dxa"/>
          </w:tcPr>
          <w:p w:rsidR="00737693" w:rsidRDefault="00872F88" w:rsidP="00EC2DF5">
            <w:pPr>
              <w:pStyle w:val="NoSpacing"/>
            </w:pPr>
            <w:r>
              <w:t>Ovršni postupak kod javnog bilježnika</w:t>
            </w:r>
          </w:p>
        </w:tc>
        <w:tc>
          <w:tcPr>
            <w:tcW w:w="1858" w:type="dxa"/>
          </w:tcPr>
          <w:p w:rsidR="00737693" w:rsidRDefault="00872F88" w:rsidP="00EC2DF5">
            <w:pPr>
              <w:pStyle w:val="NoSpacing"/>
            </w:pPr>
            <w:r>
              <w:t>15 dana nakon donošenja odluke</w:t>
            </w:r>
          </w:p>
        </w:tc>
      </w:tr>
    </w:tbl>
    <w:p w:rsidR="006137D6" w:rsidRDefault="006137D6" w:rsidP="006137D6">
      <w:pPr>
        <w:pStyle w:val="NoSpacing"/>
        <w:jc w:val="both"/>
      </w:pPr>
    </w:p>
    <w:p w:rsidR="006137D6" w:rsidRDefault="006137D6" w:rsidP="006137D6">
      <w:pPr>
        <w:pStyle w:val="NoSpacing"/>
        <w:jc w:val="both"/>
      </w:pPr>
    </w:p>
    <w:p w:rsidR="000B5A66" w:rsidRPr="006B45FD" w:rsidRDefault="00872F88" w:rsidP="00872F88">
      <w:pPr>
        <w:pStyle w:val="NoSpacing"/>
        <w:jc w:val="center"/>
        <w:rPr>
          <w:b/>
        </w:rPr>
      </w:pPr>
      <w:r w:rsidRPr="006B45FD">
        <w:rPr>
          <w:b/>
        </w:rPr>
        <w:t>Članak 4.</w:t>
      </w:r>
    </w:p>
    <w:p w:rsidR="00872F88" w:rsidRDefault="00872F88" w:rsidP="00C378EC">
      <w:pPr>
        <w:pStyle w:val="NoSpacing"/>
        <w:ind w:firstLine="708"/>
        <w:jc w:val="both"/>
      </w:pPr>
      <w:r>
        <w:t>Uvodi se redoviti sustav opomena po osnovi prihoda koje određeni dužnik ima prema Domu. Tijekom narednih 30 dana računovodstvo nadzire naplatu prihoda po opomenama.</w:t>
      </w:r>
    </w:p>
    <w:p w:rsidR="00872F88" w:rsidRDefault="00872F88" w:rsidP="00872F88">
      <w:pPr>
        <w:pStyle w:val="NoSpacing"/>
        <w:jc w:val="both"/>
      </w:pPr>
    </w:p>
    <w:p w:rsidR="00872F88" w:rsidRPr="006B45FD" w:rsidRDefault="00872F88" w:rsidP="00872F88">
      <w:pPr>
        <w:pStyle w:val="NoSpacing"/>
        <w:jc w:val="center"/>
        <w:rPr>
          <w:b/>
        </w:rPr>
      </w:pPr>
      <w:r w:rsidRPr="006B45FD">
        <w:rPr>
          <w:b/>
        </w:rPr>
        <w:t>Članak 5.</w:t>
      </w:r>
    </w:p>
    <w:p w:rsidR="00872F88" w:rsidRDefault="00872F88" w:rsidP="00C378EC">
      <w:pPr>
        <w:pStyle w:val="NoSpacing"/>
        <w:ind w:firstLine="708"/>
        <w:jc w:val="both"/>
      </w:pPr>
      <w:r>
        <w:t>Na</w:t>
      </w:r>
      <w:r w:rsidR="00C378EC">
        <w:t>kon što u roku od 30 dana od dana poslane opomene nije naplaćen dug, računovodstvo obavještava ravnateljicu koja donosi Odluku o prisilnoj naplati potraživanja te se sukladno ovršnom postupku pokreće postupak putem javnobilježničkog ureda.</w:t>
      </w:r>
    </w:p>
    <w:p w:rsidR="00C378EC" w:rsidRDefault="00C378EC" w:rsidP="00872F88">
      <w:pPr>
        <w:pStyle w:val="NoSpacing"/>
        <w:jc w:val="both"/>
      </w:pPr>
    </w:p>
    <w:p w:rsidR="00C378EC" w:rsidRDefault="00C378EC" w:rsidP="00C378EC">
      <w:pPr>
        <w:pStyle w:val="NoSpacing"/>
        <w:ind w:firstLine="708"/>
        <w:jc w:val="both"/>
      </w:pPr>
      <w:r>
        <w:t>Ovršni postupak se pokreće za dugovanja u visini većoj od 500,00 kn po jednom dužniku.</w:t>
      </w:r>
    </w:p>
    <w:p w:rsidR="00C378EC" w:rsidRDefault="00C378EC" w:rsidP="00872F88">
      <w:pPr>
        <w:pStyle w:val="NoSpacing"/>
        <w:jc w:val="both"/>
      </w:pPr>
    </w:p>
    <w:p w:rsidR="006B45FD" w:rsidRDefault="006B45FD" w:rsidP="00872F88">
      <w:pPr>
        <w:pStyle w:val="NoSpacing"/>
        <w:jc w:val="both"/>
      </w:pPr>
    </w:p>
    <w:p w:rsidR="00C378EC" w:rsidRDefault="00C378EC" w:rsidP="00872F88">
      <w:pPr>
        <w:pStyle w:val="NoSpacing"/>
        <w:jc w:val="both"/>
      </w:pPr>
      <w:r>
        <w:t>Procedura iz stavka 1. ovog članka provodi se po sljedećem postupku;</w:t>
      </w:r>
    </w:p>
    <w:p w:rsidR="00C378EC" w:rsidRDefault="00C378EC" w:rsidP="00872F88">
      <w:pPr>
        <w:pStyle w:val="NoSpacing"/>
        <w:jc w:val="both"/>
      </w:pPr>
    </w:p>
    <w:tbl>
      <w:tblPr>
        <w:tblStyle w:val="TableGrid"/>
        <w:tblW w:w="0" w:type="auto"/>
        <w:tblLook w:val="04A0" w:firstRow="1" w:lastRow="0" w:firstColumn="1" w:lastColumn="0" w:noHBand="0" w:noVBand="1"/>
      </w:tblPr>
      <w:tblGrid>
        <w:gridCol w:w="864"/>
        <w:gridCol w:w="3142"/>
        <w:gridCol w:w="1588"/>
        <w:gridCol w:w="1856"/>
        <w:gridCol w:w="1838"/>
      </w:tblGrid>
      <w:tr w:rsidR="00C378EC" w:rsidTr="00C378EC">
        <w:tc>
          <w:tcPr>
            <w:tcW w:w="864" w:type="dxa"/>
          </w:tcPr>
          <w:p w:rsidR="00C378EC" w:rsidRDefault="00C378EC" w:rsidP="00872F88">
            <w:pPr>
              <w:pStyle w:val="NoSpacing"/>
              <w:jc w:val="both"/>
            </w:pPr>
            <w:r>
              <w:t>Red.br.</w:t>
            </w:r>
          </w:p>
        </w:tc>
        <w:tc>
          <w:tcPr>
            <w:tcW w:w="3213" w:type="dxa"/>
          </w:tcPr>
          <w:p w:rsidR="00C378EC" w:rsidRDefault="00C378EC" w:rsidP="00872F88">
            <w:pPr>
              <w:pStyle w:val="NoSpacing"/>
              <w:jc w:val="both"/>
            </w:pPr>
            <w:r>
              <w:t>Aktivnosti</w:t>
            </w:r>
          </w:p>
        </w:tc>
        <w:tc>
          <w:tcPr>
            <w:tcW w:w="1495" w:type="dxa"/>
          </w:tcPr>
          <w:p w:rsidR="00C378EC" w:rsidRDefault="00C378EC" w:rsidP="00872F88">
            <w:pPr>
              <w:pStyle w:val="NoSpacing"/>
              <w:jc w:val="both"/>
            </w:pPr>
            <w:r>
              <w:t>Nadležnosti</w:t>
            </w:r>
          </w:p>
        </w:tc>
        <w:tc>
          <w:tcPr>
            <w:tcW w:w="1858" w:type="dxa"/>
          </w:tcPr>
          <w:p w:rsidR="00C378EC" w:rsidRDefault="00C378EC" w:rsidP="00872F88">
            <w:pPr>
              <w:pStyle w:val="NoSpacing"/>
              <w:jc w:val="both"/>
            </w:pPr>
            <w:r>
              <w:t>Dokument</w:t>
            </w:r>
          </w:p>
        </w:tc>
        <w:tc>
          <w:tcPr>
            <w:tcW w:w="1858" w:type="dxa"/>
          </w:tcPr>
          <w:p w:rsidR="00C378EC" w:rsidRDefault="00C378EC" w:rsidP="00872F88">
            <w:pPr>
              <w:pStyle w:val="NoSpacing"/>
              <w:jc w:val="both"/>
            </w:pPr>
            <w:r>
              <w:t>Rok</w:t>
            </w:r>
          </w:p>
        </w:tc>
      </w:tr>
      <w:tr w:rsidR="00C378EC" w:rsidTr="00C378EC">
        <w:tc>
          <w:tcPr>
            <w:tcW w:w="864" w:type="dxa"/>
          </w:tcPr>
          <w:p w:rsidR="00C378EC" w:rsidRDefault="00C378EC" w:rsidP="00C378EC">
            <w:pPr>
              <w:pStyle w:val="NoSpacing"/>
            </w:pPr>
            <w:r>
              <w:t>1.</w:t>
            </w:r>
          </w:p>
        </w:tc>
        <w:tc>
          <w:tcPr>
            <w:tcW w:w="3213" w:type="dxa"/>
          </w:tcPr>
          <w:p w:rsidR="00C378EC" w:rsidRDefault="00C378EC" w:rsidP="00C378EC">
            <w:pPr>
              <w:pStyle w:val="NoSpacing"/>
            </w:pPr>
            <w:r>
              <w:t>Utvrđivanje knjigovodstvenog stanja dužnika</w:t>
            </w:r>
          </w:p>
        </w:tc>
        <w:tc>
          <w:tcPr>
            <w:tcW w:w="1495" w:type="dxa"/>
          </w:tcPr>
          <w:p w:rsidR="00C378EC" w:rsidRDefault="00C378EC" w:rsidP="00C378EC">
            <w:pPr>
              <w:pStyle w:val="NoSpacing"/>
            </w:pPr>
            <w:r>
              <w:t>Računovodstvo</w:t>
            </w:r>
          </w:p>
        </w:tc>
        <w:tc>
          <w:tcPr>
            <w:tcW w:w="1858" w:type="dxa"/>
          </w:tcPr>
          <w:p w:rsidR="00C378EC" w:rsidRDefault="00C378EC" w:rsidP="00C378EC">
            <w:pPr>
              <w:pStyle w:val="NoSpacing"/>
            </w:pPr>
            <w:r>
              <w:t>Knjigovodstvene kartice</w:t>
            </w:r>
          </w:p>
        </w:tc>
        <w:tc>
          <w:tcPr>
            <w:tcW w:w="1858" w:type="dxa"/>
          </w:tcPr>
          <w:p w:rsidR="00C378EC" w:rsidRDefault="00C378EC" w:rsidP="00C378EC">
            <w:pPr>
              <w:pStyle w:val="NoSpacing"/>
            </w:pPr>
            <w:r>
              <w:t>Prije zastare potraživanja</w:t>
            </w:r>
          </w:p>
        </w:tc>
      </w:tr>
      <w:tr w:rsidR="00C378EC" w:rsidTr="00C378EC">
        <w:tc>
          <w:tcPr>
            <w:tcW w:w="864" w:type="dxa"/>
          </w:tcPr>
          <w:p w:rsidR="00C378EC" w:rsidRDefault="00C378EC" w:rsidP="00C378EC">
            <w:pPr>
              <w:pStyle w:val="NoSpacing"/>
            </w:pPr>
            <w:r>
              <w:t>2.</w:t>
            </w:r>
          </w:p>
        </w:tc>
        <w:tc>
          <w:tcPr>
            <w:tcW w:w="3213" w:type="dxa"/>
          </w:tcPr>
          <w:p w:rsidR="00C378EC" w:rsidRDefault="00C378EC" w:rsidP="00C378EC">
            <w:pPr>
              <w:pStyle w:val="NoSpacing"/>
            </w:pPr>
            <w:r>
              <w:t>Prikupljanje dokumentacije za ovršni postupak</w:t>
            </w:r>
          </w:p>
        </w:tc>
        <w:tc>
          <w:tcPr>
            <w:tcW w:w="1495" w:type="dxa"/>
          </w:tcPr>
          <w:p w:rsidR="00C378EC" w:rsidRDefault="00C378EC" w:rsidP="00C378EC">
            <w:pPr>
              <w:pStyle w:val="NoSpacing"/>
            </w:pPr>
            <w:r>
              <w:t>Računovodstvo</w:t>
            </w:r>
          </w:p>
        </w:tc>
        <w:tc>
          <w:tcPr>
            <w:tcW w:w="1858" w:type="dxa"/>
          </w:tcPr>
          <w:p w:rsidR="00C378EC" w:rsidRDefault="00C378EC" w:rsidP="00C378EC">
            <w:pPr>
              <w:pStyle w:val="NoSpacing"/>
            </w:pPr>
            <w:r>
              <w:t>Knjigovodstvena kartica, računi/obračun kamata/opomena s povratnicom</w:t>
            </w:r>
          </w:p>
        </w:tc>
        <w:tc>
          <w:tcPr>
            <w:tcW w:w="1858" w:type="dxa"/>
          </w:tcPr>
          <w:p w:rsidR="00C378EC" w:rsidRDefault="00C378EC" w:rsidP="00C378EC">
            <w:pPr>
              <w:pStyle w:val="NoSpacing"/>
            </w:pPr>
            <w:r>
              <w:t>Prije zastare potraživanja</w:t>
            </w:r>
          </w:p>
        </w:tc>
      </w:tr>
      <w:tr w:rsidR="00C378EC" w:rsidTr="00C378EC">
        <w:tc>
          <w:tcPr>
            <w:tcW w:w="864" w:type="dxa"/>
          </w:tcPr>
          <w:p w:rsidR="00C378EC" w:rsidRDefault="00C378EC" w:rsidP="00C378EC">
            <w:pPr>
              <w:pStyle w:val="NoSpacing"/>
            </w:pPr>
            <w:r>
              <w:t>3.</w:t>
            </w:r>
          </w:p>
        </w:tc>
        <w:tc>
          <w:tcPr>
            <w:tcW w:w="3213" w:type="dxa"/>
          </w:tcPr>
          <w:p w:rsidR="00C378EC" w:rsidRDefault="00C378EC" w:rsidP="00C378EC">
            <w:pPr>
              <w:pStyle w:val="NoSpacing"/>
            </w:pPr>
            <w:r>
              <w:t>Izrada prijedloga za ovrhu</w:t>
            </w:r>
          </w:p>
        </w:tc>
        <w:tc>
          <w:tcPr>
            <w:tcW w:w="1495" w:type="dxa"/>
          </w:tcPr>
          <w:p w:rsidR="00C378EC" w:rsidRDefault="00C378EC" w:rsidP="00C378EC">
            <w:pPr>
              <w:pStyle w:val="NoSpacing"/>
            </w:pPr>
            <w:r>
              <w:t>Tajništvo</w:t>
            </w:r>
          </w:p>
        </w:tc>
        <w:tc>
          <w:tcPr>
            <w:tcW w:w="1858" w:type="dxa"/>
          </w:tcPr>
          <w:p w:rsidR="00C378EC" w:rsidRDefault="00C378EC" w:rsidP="00C378EC">
            <w:pPr>
              <w:pStyle w:val="NoSpacing"/>
            </w:pPr>
            <w:r>
              <w:t>Nacrt prijedloga za ovrhu Općinskom sudu ili javnom bilježniku</w:t>
            </w:r>
          </w:p>
        </w:tc>
        <w:tc>
          <w:tcPr>
            <w:tcW w:w="1858" w:type="dxa"/>
          </w:tcPr>
          <w:p w:rsidR="00C378EC" w:rsidRDefault="00C378EC" w:rsidP="00C378EC">
            <w:pPr>
              <w:pStyle w:val="NoSpacing"/>
            </w:pPr>
            <w:r>
              <w:t>Najkasnije 3 radna dana od dana pokretanja postupka</w:t>
            </w:r>
          </w:p>
        </w:tc>
      </w:tr>
      <w:tr w:rsidR="00C378EC" w:rsidTr="00C378EC">
        <w:tc>
          <w:tcPr>
            <w:tcW w:w="864" w:type="dxa"/>
          </w:tcPr>
          <w:p w:rsidR="00C378EC" w:rsidRDefault="00C378EC" w:rsidP="00C378EC">
            <w:pPr>
              <w:pStyle w:val="NoSpacing"/>
            </w:pPr>
            <w:r>
              <w:t>4.</w:t>
            </w:r>
          </w:p>
        </w:tc>
        <w:tc>
          <w:tcPr>
            <w:tcW w:w="3213" w:type="dxa"/>
          </w:tcPr>
          <w:p w:rsidR="00C378EC" w:rsidRDefault="00C378EC" w:rsidP="00C378EC">
            <w:pPr>
              <w:pStyle w:val="NoSpacing"/>
            </w:pPr>
            <w:r>
              <w:t>Ovjera i potpis prijedloga za ovrhu</w:t>
            </w:r>
          </w:p>
        </w:tc>
        <w:tc>
          <w:tcPr>
            <w:tcW w:w="1495" w:type="dxa"/>
          </w:tcPr>
          <w:p w:rsidR="00C378EC" w:rsidRDefault="00C378EC" w:rsidP="00C378EC">
            <w:pPr>
              <w:pStyle w:val="NoSpacing"/>
            </w:pPr>
            <w:r>
              <w:t>Ravnateljica</w:t>
            </w:r>
          </w:p>
        </w:tc>
        <w:tc>
          <w:tcPr>
            <w:tcW w:w="1858" w:type="dxa"/>
          </w:tcPr>
          <w:p w:rsidR="00C378EC" w:rsidRDefault="00C378EC" w:rsidP="00C378EC">
            <w:pPr>
              <w:pStyle w:val="NoSpacing"/>
            </w:pPr>
            <w:r>
              <w:t>Prijedlog za ovrhu Općinskom sudu ili javnom bilježniku</w:t>
            </w:r>
          </w:p>
        </w:tc>
        <w:tc>
          <w:tcPr>
            <w:tcW w:w="1858" w:type="dxa"/>
          </w:tcPr>
          <w:p w:rsidR="00C378EC" w:rsidRDefault="00C378EC" w:rsidP="00C378EC">
            <w:pPr>
              <w:pStyle w:val="NoSpacing"/>
            </w:pPr>
            <w:r>
              <w:t>Najkasnije 2 radni dan od dana izrade prijedloga</w:t>
            </w:r>
          </w:p>
        </w:tc>
      </w:tr>
      <w:tr w:rsidR="00C378EC" w:rsidTr="00C378EC">
        <w:tc>
          <w:tcPr>
            <w:tcW w:w="864" w:type="dxa"/>
          </w:tcPr>
          <w:p w:rsidR="00C378EC" w:rsidRDefault="006B45FD" w:rsidP="00C378EC">
            <w:pPr>
              <w:pStyle w:val="NoSpacing"/>
            </w:pPr>
            <w:r>
              <w:lastRenderedPageBreak/>
              <w:t>5.</w:t>
            </w:r>
          </w:p>
        </w:tc>
        <w:tc>
          <w:tcPr>
            <w:tcW w:w="3213" w:type="dxa"/>
          </w:tcPr>
          <w:p w:rsidR="00C378EC" w:rsidRDefault="006B45FD" w:rsidP="00C378EC">
            <w:pPr>
              <w:pStyle w:val="NoSpacing"/>
            </w:pPr>
            <w:r>
              <w:t>Dostava prijedloga za ovrhu Općinskom sudu ili javnom bilježniku</w:t>
            </w:r>
          </w:p>
        </w:tc>
        <w:tc>
          <w:tcPr>
            <w:tcW w:w="1495" w:type="dxa"/>
          </w:tcPr>
          <w:p w:rsidR="00C378EC" w:rsidRDefault="006B45FD" w:rsidP="00C378EC">
            <w:pPr>
              <w:pStyle w:val="NoSpacing"/>
            </w:pPr>
            <w:r>
              <w:t>Tajništvo</w:t>
            </w:r>
          </w:p>
        </w:tc>
        <w:tc>
          <w:tcPr>
            <w:tcW w:w="1858" w:type="dxa"/>
          </w:tcPr>
          <w:p w:rsidR="00C378EC" w:rsidRDefault="006B45FD" w:rsidP="00C378EC">
            <w:pPr>
              <w:pStyle w:val="NoSpacing"/>
            </w:pPr>
            <w:r>
              <w:t>Preporučena pošiljka (knjiga izlazne pošte)</w:t>
            </w:r>
          </w:p>
        </w:tc>
        <w:tc>
          <w:tcPr>
            <w:tcW w:w="1858" w:type="dxa"/>
          </w:tcPr>
          <w:p w:rsidR="00C378EC" w:rsidRDefault="006B45FD" w:rsidP="00C378EC">
            <w:pPr>
              <w:pStyle w:val="NoSpacing"/>
            </w:pPr>
            <w:r>
              <w:t>Najkasnije 2 radna dana od dana izrade prijedloga</w:t>
            </w:r>
          </w:p>
        </w:tc>
      </w:tr>
      <w:tr w:rsidR="006B45FD" w:rsidTr="00C378EC">
        <w:tc>
          <w:tcPr>
            <w:tcW w:w="864" w:type="dxa"/>
          </w:tcPr>
          <w:p w:rsidR="006B45FD" w:rsidRDefault="006B45FD" w:rsidP="00C378EC">
            <w:pPr>
              <w:pStyle w:val="NoSpacing"/>
            </w:pPr>
            <w:r>
              <w:t xml:space="preserve">6. </w:t>
            </w:r>
          </w:p>
        </w:tc>
        <w:tc>
          <w:tcPr>
            <w:tcW w:w="3213" w:type="dxa"/>
          </w:tcPr>
          <w:p w:rsidR="006B45FD" w:rsidRDefault="006B45FD" w:rsidP="00C378EC">
            <w:pPr>
              <w:pStyle w:val="NoSpacing"/>
            </w:pPr>
            <w:r>
              <w:t>Dostava pravomoćnih rješenja o ovrsi FINA-i</w:t>
            </w:r>
          </w:p>
        </w:tc>
        <w:tc>
          <w:tcPr>
            <w:tcW w:w="1495" w:type="dxa"/>
          </w:tcPr>
          <w:p w:rsidR="006B45FD" w:rsidRDefault="006B45FD" w:rsidP="00C378EC">
            <w:pPr>
              <w:pStyle w:val="NoSpacing"/>
            </w:pPr>
            <w:r>
              <w:t>Računovodstvo</w:t>
            </w:r>
          </w:p>
        </w:tc>
        <w:tc>
          <w:tcPr>
            <w:tcW w:w="1858" w:type="dxa"/>
          </w:tcPr>
          <w:p w:rsidR="006B45FD" w:rsidRDefault="006B45FD" w:rsidP="00C378EC">
            <w:pPr>
              <w:pStyle w:val="NoSpacing"/>
            </w:pPr>
            <w:r>
              <w:t>Pravomoćno rješenje</w:t>
            </w:r>
          </w:p>
        </w:tc>
        <w:tc>
          <w:tcPr>
            <w:tcW w:w="1858" w:type="dxa"/>
          </w:tcPr>
          <w:p w:rsidR="006B45FD" w:rsidRDefault="006B45FD" w:rsidP="00C378EC">
            <w:pPr>
              <w:pStyle w:val="NoSpacing"/>
            </w:pPr>
            <w:r>
              <w:t>Najkasnije 2 radni dan od dana primitka pravomoćnog rješenja</w:t>
            </w:r>
          </w:p>
        </w:tc>
      </w:tr>
    </w:tbl>
    <w:p w:rsidR="00C378EC" w:rsidRDefault="00C378EC" w:rsidP="00C378EC">
      <w:pPr>
        <w:pStyle w:val="NoSpacing"/>
      </w:pPr>
    </w:p>
    <w:p w:rsidR="006B45FD" w:rsidRDefault="006B45FD" w:rsidP="00C378EC">
      <w:pPr>
        <w:pStyle w:val="NoSpacing"/>
      </w:pPr>
    </w:p>
    <w:p w:rsidR="006B45FD" w:rsidRPr="006B45FD" w:rsidRDefault="006B45FD" w:rsidP="006B45FD">
      <w:pPr>
        <w:pStyle w:val="NoSpacing"/>
        <w:jc w:val="center"/>
        <w:rPr>
          <w:b/>
        </w:rPr>
      </w:pPr>
      <w:r w:rsidRPr="006B45FD">
        <w:rPr>
          <w:b/>
        </w:rPr>
        <w:t>Članak 6.</w:t>
      </w:r>
    </w:p>
    <w:p w:rsidR="006B45FD" w:rsidRDefault="006B45FD" w:rsidP="006B45FD">
      <w:pPr>
        <w:pStyle w:val="NoSpacing"/>
        <w:jc w:val="both"/>
      </w:pPr>
      <w:r>
        <w:tab/>
        <w:t>Ukoliko FINA dostavi obavijest da naplata po rješenju o ovrsi nije moguća, ravnateljica u narednih 5 dana donosi odluku o angažiranju odvjetnika s ciljem naplate prihoda putem nadležnog općinskog suda (osiguranjem novčane tražbine prisilnim zasnivanjem založnog prava na pokretninama ili nekretnini, uz koji se prilaže izvršno rješenje o ovrsi).</w:t>
      </w:r>
    </w:p>
    <w:p w:rsidR="006B45FD" w:rsidRDefault="006B45FD" w:rsidP="006B45FD">
      <w:pPr>
        <w:pStyle w:val="NoSpacing"/>
        <w:jc w:val="both"/>
      </w:pPr>
      <w:r>
        <w:tab/>
        <w:t>U slučaju kada iznos potraživanja obzirom na troškove naplate nije isplativ ili drugim slučajevima propisanim zakonom, potraživanje se može djelomično ili u cijelosti otpisati sukladno odluci ravnateljice.</w:t>
      </w:r>
    </w:p>
    <w:p w:rsidR="006B45FD" w:rsidRDefault="006B45FD" w:rsidP="006B45FD">
      <w:pPr>
        <w:pStyle w:val="NoSpacing"/>
        <w:jc w:val="both"/>
      </w:pPr>
      <w:r>
        <w:tab/>
        <w:t>Otpisani postupak iz stavka 1. ovog članka povoditi će se obvezno za dugovanja veća od _______________kn, po jednom dužniku.</w:t>
      </w:r>
    </w:p>
    <w:p w:rsidR="006B45FD" w:rsidRDefault="006B45FD" w:rsidP="006B45FD">
      <w:pPr>
        <w:pStyle w:val="NoSpacing"/>
        <w:jc w:val="both"/>
      </w:pPr>
    </w:p>
    <w:p w:rsidR="006B45FD" w:rsidRPr="006B45FD" w:rsidRDefault="006B45FD" w:rsidP="006B45FD">
      <w:pPr>
        <w:pStyle w:val="NoSpacing"/>
        <w:jc w:val="center"/>
        <w:rPr>
          <w:b/>
        </w:rPr>
      </w:pPr>
      <w:r w:rsidRPr="006B45FD">
        <w:rPr>
          <w:b/>
        </w:rPr>
        <w:t>Članak 7.</w:t>
      </w:r>
    </w:p>
    <w:p w:rsidR="006B45FD" w:rsidRDefault="006B45FD" w:rsidP="006B45FD">
      <w:pPr>
        <w:pStyle w:val="NoSpacing"/>
        <w:jc w:val="both"/>
      </w:pPr>
      <w:r>
        <w:tab/>
        <w:t>Ova Procedura stupa na snagu danom donošenja i objavit će se na oglasnu ploču i web stranice Doma.</w:t>
      </w:r>
    </w:p>
    <w:p w:rsidR="006B45FD" w:rsidRDefault="006B45FD" w:rsidP="006B45FD">
      <w:pPr>
        <w:pStyle w:val="NoSpacing"/>
        <w:jc w:val="both"/>
      </w:pPr>
    </w:p>
    <w:p w:rsidR="006B45FD" w:rsidRDefault="006B45FD" w:rsidP="006B45FD">
      <w:pPr>
        <w:pStyle w:val="NoSpacing"/>
        <w:jc w:val="both"/>
      </w:pPr>
    </w:p>
    <w:p w:rsidR="006B45FD" w:rsidRDefault="006B45FD" w:rsidP="006B45FD">
      <w:pPr>
        <w:pStyle w:val="NoSpacing"/>
        <w:jc w:val="both"/>
      </w:pPr>
      <w:r>
        <w:tab/>
      </w:r>
      <w:r>
        <w:tab/>
      </w:r>
      <w:r>
        <w:tab/>
      </w:r>
      <w:r>
        <w:tab/>
      </w:r>
      <w:r>
        <w:tab/>
      </w:r>
      <w:r>
        <w:tab/>
      </w:r>
      <w:r>
        <w:tab/>
      </w:r>
      <w:r>
        <w:tab/>
      </w:r>
      <w:r>
        <w:tab/>
      </w:r>
      <w:r>
        <w:tab/>
        <w:t>Ravnateljica:</w:t>
      </w:r>
    </w:p>
    <w:p w:rsidR="006B45FD" w:rsidRDefault="006B45FD" w:rsidP="006B45FD">
      <w:pPr>
        <w:pStyle w:val="NoSpacing"/>
        <w:jc w:val="both"/>
      </w:pPr>
    </w:p>
    <w:p w:rsidR="006B45FD" w:rsidRDefault="006B45FD" w:rsidP="006B45FD">
      <w:pPr>
        <w:pStyle w:val="NoSpacing"/>
        <w:jc w:val="both"/>
      </w:pPr>
      <w:r>
        <w:tab/>
      </w:r>
      <w:r>
        <w:tab/>
      </w:r>
      <w:r>
        <w:tab/>
      </w:r>
      <w:r>
        <w:tab/>
      </w:r>
      <w:r>
        <w:tab/>
      </w:r>
      <w:r>
        <w:tab/>
      </w:r>
      <w:r>
        <w:tab/>
      </w:r>
      <w:r>
        <w:tab/>
      </w:r>
      <w:r>
        <w:tab/>
        <w:t xml:space="preserve">        Suzana Jambrešić, prof.</w:t>
      </w:r>
    </w:p>
    <w:p w:rsidR="006B45FD" w:rsidRDefault="006B45FD" w:rsidP="006B45FD">
      <w:pPr>
        <w:pStyle w:val="NoSpacing"/>
        <w:jc w:val="both"/>
      </w:pPr>
    </w:p>
    <w:p w:rsidR="006B45FD" w:rsidRPr="000B5A66" w:rsidRDefault="006B45FD" w:rsidP="006B45FD">
      <w:pPr>
        <w:pStyle w:val="NoSpacing"/>
        <w:jc w:val="both"/>
      </w:pPr>
    </w:p>
    <w:sectPr w:rsidR="006B45FD" w:rsidRPr="000B5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77"/>
    <w:rsid w:val="000B5A66"/>
    <w:rsid w:val="001D4377"/>
    <w:rsid w:val="003035DD"/>
    <w:rsid w:val="00444F24"/>
    <w:rsid w:val="006137D6"/>
    <w:rsid w:val="006B45FD"/>
    <w:rsid w:val="00737693"/>
    <w:rsid w:val="007A284A"/>
    <w:rsid w:val="00872F88"/>
    <w:rsid w:val="00C378EC"/>
    <w:rsid w:val="00D3754D"/>
    <w:rsid w:val="00EC2D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377"/>
    <w:pPr>
      <w:spacing w:after="0" w:line="240" w:lineRule="auto"/>
    </w:pPr>
  </w:style>
  <w:style w:type="table" w:styleId="TableGrid">
    <w:name w:val="Table Grid"/>
    <w:basedOn w:val="TableNormal"/>
    <w:uiPriority w:val="59"/>
    <w:rsid w:val="00EC2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377"/>
    <w:pPr>
      <w:spacing w:after="0" w:line="240" w:lineRule="auto"/>
    </w:pPr>
  </w:style>
  <w:style w:type="table" w:styleId="TableGrid">
    <w:name w:val="Table Grid"/>
    <w:basedOn w:val="TableNormal"/>
    <w:uiPriority w:val="59"/>
    <w:rsid w:val="00EC2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cp:lastPrinted>2016-06-01T11:46:00Z</cp:lastPrinted>
  <dcterms:created xsi:type="dcterms:W3CDTF">2016-06-01T09:00:00Z</dcterms:created>
  <dcterms:modified xsi:type="dcterms:W3CDTF">2016-06-01T12:07:00Z</dcterms:modified>
</cp:coreProperties>
</file>